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ascii="方正小标宋_GBK" w:hAnsi="方正仿宋_GBK" w:eastAsia="方正小标宋_GBK"/>
          <w:sz w:val="44"/>
          <w:szCs w:val="44"/>
        </w:rPr>
      </w:pPr>
    </w:p>
    <w:p>
      <w:pPr>
        <w:spacing w:line="560" w:lineRule="exact"/>
        <w:ind w:firstLine="0" w:firstLineChars="0"/>
        <w:jc w:val="center"/>
        <w:rPr>
          <w:rFonts w:ascii="方正小标宋_GBK" w:hAnsi="方正仿宋_GBK" w:eastAsia="方正小标宋_GBK"/>
          <w:sz w:val="44"/>
          <w:szCs w:val="44"/>
        </w:rPr>
      </w:pPr>
      <w:r>
        <w:rPr>
          <w:rFonts w:hint="eastAsia" w:ascii="方正小标宋_GBK" w:hAnsi="方正仿宋_GBK" w:eastAsia="方正小标宋_GBK"/>
          <w:sz w:val="44"/>
          <w:szCs w:val="44"/>
        </w:rPr>
        <w:t>淮安经济技术开发区居住区电动汽车充电设施建设“一区一策”方案（试行）</w:t>
      </w:r>
    </w:p>
    <w:p>
      <w:pPr>
        <w:spacing w:line="560" w:lineRule="exact"/>
        <w:ind w:firstLine="880"/>
        <w:jc w:val="center"/>
        <w:rPr>
          <w:rFonts w:ascii="方正小标宋_GBK" w:hAnsi="方正仿宋_GBK" w:eastAsia="方正小标宋_GBK"/>
          <w:sz w:val="44"/>
          <w:szCs w:val="44"/>
        </w:rPr>
      </w:pPr>
      <w:bookmarkStart w:id="0" w:name="_GoBack"/>
      <w:bookmarkEnd w:id="0"/>
    </w:p>
    <w:p>
      <w:pPr>
        <w:adjustRightInd w:val="0"/>
        <w:snapToGrid w:val="0"/>
        <w:spacing w:line="560" w:lineRule="exact"/>
        <w:ind w:firstLine="640"/>
        <w:rPr>
          <w:rFonts w:eastAsia="黑体"/>
          <w:szCs w:val="32"/>
        </w:rPr>
      </w:pPr>
      <w:r>
        <w:rPr>
          <w:rFonts w:hAnsi="黑体" w:eastAsia="黑体"/>
          <w:szCs w:val="32"/>
        </w:rPr>
        <w:t>一、目标依据</w:t>
      </w:r>
    </w:p>
    <w:p>
      <w:pPr>
        <w:adjustRightInd w:val="0"/>
        <w:snapToGrid w:val="0"/>
        <w:spacing w:line="560" w:lineRule="exact"/>
        <w:ind w:firstLine="640"/>
        <w:rPr>
          <w:rFonts w:eastAsia="方正仿宋_GBK"/>
          <w:szCs w:val="32"/>
        </w:rPr>
      </w:pPr>
      <w:r>
        <w:rPr>
          <w:rFonts w:eastAsia="方正仿宋_GBK"/>
          <w:szCs w:val="32"/>
        </w:rPr>
        <w:t>为满足我区居住区安装电动汽车充电设施需求，便捷规范居住区安装电动汽车充电设施的建设流程，全面加快居民小区电动汽车充电基础设施建设，同时确保人防工程防护效能与使用安全，依据《关于加快居民区电动汽车充电基础设施建设的通知》（发改能源〔2016〕1611号）《关于进一步提升电动汽车充电基础设施服务保障能力的实施意见》（发改能源规〔2022〕53号）《关于印发&lt;江苏省新能源汽车充（换）电设施建设运营管理办法&gt;的通知》（苏工信规〔2022〕2号）及《中华人民共和国人民防空法》《江苏省人民防空工程建设使用规定》《关于印发&lt;淮安市居民住宅小区电动汽车自用充电基础设施建设管理指导意见（试行）&gt;的通知（淮新汽办）〔2022〕3号》等文件精神，制定本方案。</w:t>
      </w:r>
    </w:p>
    <w:p>
      <w:pPr>
        <w:adjustRightInd w:val="0"/>
        <w:snapToGrid w:val="0"/>
        <w:spacing w:line="560" w:lineRule="exact"/>
        <w:ind w:firstLine="640"/>
        <w:rPr>
          <w:rFonts w:eastAsia="黑体"/>
          <w:szCs w:val="32"/>
        </w:rPr>
      </w:pPr>
      <w:r>
        <w:rPr>
          <w:rFonts w:hAnsi="黑体" w:eastAsia="黑体"/>
          <w:szCs w:val="32"/>
        </w:rPr>
        <w:t>二、定义范围</w:t>
      </w:r>
    </w:p>
    <w:p>
      <w:pPr>
        <w:adjustRightInd w:val="0"/>
        <w:snapToGrid w:val="0"/>
        <w:spacing w:line="560" w:lineRule="exact"/>
        <w:ind w:firstLine="643"/>
        <w:rPr>
          <w:rFonts w:eastAsia="方正仿宋_GBK"/>
          <w:szCs w:val="32"/>
        </w:rPr>
      </w:pPr>
      <w:r>
        <w:rPr>
          <w:rFonts w:eastAsia="方正楷体_GBK"/>
          <w:b/>
          <w:szCs w:val="32"/>
        </w:rPr>
        <w:t>1</w:t>
      </w:r>
      <w:r>
        <w:rPr>
          <w:rFonts w:hint="eastAsia" w:hAnsi="方正楷体_GBK" w:eastAsia="方正楷体_GBK"/>
          <w:b/>
          <w:szCs w:val="32"/>
        </w:rPr>
        <w:t>.</w:t>
      </w:r>
      <w:r>
        <w:rPr>
          <w:rFonts w:hAnsi="方正楷体_GBK" w:eastAsia="方正楷体_GBK"/>
          <w:b/>
          <w:szCs w:val="32"/>
        </w:rPr>
        <w:t>适用范围。</w:t>
      </w:r>
      <w:r>
        <w:rPr>
          <w:rFonts w:eastAsia="方正仿宋_GBK"/>
          <w:szCs w:val="32"/>
        </w:rPr>
        <w:t>本方案适用于</w:t>
      </w:r>
      <w:r>
        <w:rPr>
          <w:rFonts w:hint="eastAsia" w:eastAsia="方正仿宋_GBK"/>
          <w:szCs w:val="32"/>
        </w:rPr>
        <w:t>淮安经济技术开发区</w:t>
      </w:r>
      <w:r>
        <w:rPr>
          <w:rFonts w:eastAsia="方正仿宋_GBK"/>
          <w:szCs w:val="32"/>
        </w:rPr>
        <w:t>范围内居民区的电动汽车充电设施建设工程。</w:t>
      </w:r>
    </w:p>
    <w:p>
      <w:pPr>
        <w:adjustRightInd w:val="0"/>
        <w:snapToGrid w:val="0"/>
        <w:spacing w:line="560" w:lineRule="exact"/>
        <w:ind w:firstLine="643"/>
        <w:rPr>
          <w:rFonts w:eastAsia="方正仿宋_GBK"/>
          <w:szCs w:val="32"/>
        </w:rPr>
      </w:pPr>
      <w:r>
        <w:rPr>
          <w:rFonts w:eastAsia="方正楷体_GBK"/>
          <w:b/>
          <w:szCs w:val="32"/>
        </w:rPr>
        <w:t>2</w:t>
      </w:r>
      <w:r>
        <w:rPr>
          <w:rFonts w:hint="eastAsia" w:hAnsi="方正楷体_GBK" w:eastAsia="方正楷体_GBK"/>
          <w:b/>
          <w:szCs w:val="32"/>
        </w:rPr>
        <w:t>.</w:t>
      </w:r>
      <w:r>
        <w:rPr>
          <w:rFonts w:hAnsi="方正楷体_GBK" w:eastAsia="方正楷体_GBK"/>
          <w:b/>
          <w:szCs w:val="32"/>
        </w:rPr>
        <w:t>电动汽车。</w:t>
      </w:r>
      <w:r>
        <w:rPr>
          <w:rFonts w:eastAsia="方正仿宋_GBK"/>
          <w:szCs w:val="32"/>
        </w:rPr>
        <w:t>电动汽车指技术参数符合国家标准规范的小客车，不包括电动自行车、电动三轮车、非标电动四轮车、载重电动车等。</w:t>
      </w:r>
    </w:p>
    <w:p>
      <w:pPr>
        <w:adjustRightInd w:val="0"/>
        <w:snapToGrid w:val="0"/>
        <w:spacing w:line="560" w:lineRule="exact"/>
        <w:ind w:firstLine="640"/>
        <w:rPr>
          <w:rFonts w:eastAsia="黑体"/>
          <w:szCs w:val="32"/>
        </w:rPr>
      </w:pPr>
      <w:r>
        <w:rPr>
          <w:rFonts w:hAnsi="黑体" w:eastAsia="黑体"/>
          <w:szCs w:val="32"/>
        </w:rPr>
        <w:t>三、具体方案</w:t>
      </w:r>
    </w:p>
    <w:p>
      <w:pPr>
        <w:adjustRightInd w:val="0"/>
        <w:snapToGrid w:val="0"/>
        <w:spacing w:line="560" w:lineRule="exact"/>
        <w:ind w:firstLine="643"/>
        <w:rPr>
          <w:rFonts w:eastAsia="方正楷体_GBK"/>
          <w:b/>
          <w:szCs w:val="32"/>
        </w:rPr>
      </w:pPr>
      <w:r>
        <w:rPr>
          <w:rFonts w:eastAsia="方正楷体_GBK"/>
          <w:b/>
          <w:szCs w:val="32"/>
        </w:rPr>
        <w:t>1</w:t>
      </w:r>
      <w:r>
        <w:rPr>
          <w:rFonts w:hint="eastAsia" w:hAnsi="方正楷体_GBK" w:eastAsia="方正楷体_GBK"/>
          <w:b/>
          <w:szCs w:val="32"/>
        </w:rPr>
        <w:t>.</w:t>
      </w:r>
      <w:r>
        <w:rPr>
          <w:rFonts w:hAnsi="方正楷体_GBK" w:eastAsia="方正楷体_GBK"/>
          <w:b/>
          <w:szCs w:val="32"/>
        </w:rPr>
        <w:t>符合条件的老旧小区</w:t>
      </w:r>
    </w:p>
    <w:p>
      <w:pPr>
        <w:adjustRightInd w:val="0"/>
        <w:snapToGrid w:val="0"/>
        <w:spacing w:line="560" w:lineRule="exact"/>
        <w:ind w:firstLine="640"/>
        <w:rPr>
          <w:rFonts w:eastAsia="方正仿宋_GBK"/>
          <w:szCs w:val="32"/>
        </w:rPr>
      </w:pPr>
      <w:r>
        <w:rPr>
          <w:rFonts w:eastAsia="方正仿宋_GBK"/>
          <w:szCs w:val="32"/>
        </w:rPr>
        <w:t>对符合条件的老旧小区由</w:t>
      </w:r>
      <w:r>
        <w:rPr>
          <w:rFonts w:hint="eastAsia" w:eastAsia="方正仿宋_GBK"/>
          <w:szCs w:val="32"/>
        </w:rPr>
        <w:t>国网淮安供电公司</w:t>
      </w:r>
      <w:r>
        <w:rPr>
          <w:rFonts w:eastAsia="方正仿宋_GBK"/>
          <w:szCs w:val="32"/>
        </w:rPr>
        <w:t>会同有关物业（或业主委员会、街道办）开展充电设施建设情况专项调研，掌握居住区内车位布置、电动汽车保有、供配电设施建设以及可开放容量等情况，由物业提供电动汽车专用停车位并公示，</w:t>
      </w:r>
      <w:r>
        <w:rPr>
          <w:rFonts w:hint="eastAsia" w:eastAsia="方正仿宋_GBK"/>
          <w:szCs w:val="32"/>
        </w:rPr>
        <w:t>国网淮安供电公司</w:t>
      </w:r>
      <w:r>
        <w:rPr>
          <w:rFonts w:eastAsia="方正仿宋_GBK"/>
          <w:szCs w:val="32"/>
        </w:rPr>
        <w:t>对划定的电动汽车停车位编制充电设施规划方案公示并建设实施。规划方案应包括所有车位的充电桩安装位置、接入路径、表箱位置等内容，涉及配电变压器容量不足需增容的由国网淮安供电公司负责增加配电变压器，低压开关柜、电缆分支箱等相关设施。</w:t>
      </w:r>
    </w:p>
    <w:p>
      <w:pPr>
        <w:adjustRightInd w:val="0"/>
        <w:snapToGrid w:val="0"/>
        <w:spacing w:line="560" w:lineRule="exact"/>
        <w:ind w:firstLine="640"/>
        <w:rPr>
          <w:rFonts w:eastAsia="方正仿宋_GBK"/>
          <w:szCs w:val="32"/>
        </w:rPr>
      </w:pPr>
      <w:r>
        <w:rPr>
          <w:rFonts w:eastAsia="方正仿宋_GBK"/>
          <w:szCs w:val="32"/>
        </w:rPr>
        <w:t>居民用户充电桩计量箱以上土建、电气部分由国网淮安供电公司统筹实施，做到同步设计、同步施工、土建一次到位，避免公共区域重复施工影响居民正常生活，建设完成后应满足“开门接桩”要求。</w:t>
      </w:r>
    </w:p>
    <w:p>
      <w:pPr>
        <w:adjustRightInd w:val="0"/>
        <w:snapToGrid w:val="0"/>
        <w:spacing w:line="560" w:lineRule="exact"/>
        <w:ind w:firstLine="643"/>
        <w:rPr>
          <w:rFonts w:eastAsia="方正楷体_GBK"/>
          <w:b/>
          <w:szCs w:val="32"/>
        </w:rPr>
      </w:pPr>
      <w:r>
        <w:rPr>
          <w:rFonts w:eastAsia="方正楷体_GBK"/>
          <w:b/>
          <w:szCs w:val="32"/>
        </w:rPr>
        <w:t>2</w:t>
      </w:r>
      <w:r>
        <w:rPr>
          <w:rFonts w:hint="eastAsia" w:hAnsi="方正楷体_GBK" w:eastAsia="方正楷体_GBK"/>
          <w:b/>
          <w:szCs w:val="32"/>
        </w:rPr>
        <w:t>.</w:t>
      </w:r>
      <w:r>
        <w:rPr>
          <w:rFonts w:hAnsi="方正楷体_GBK" w:eastAsia="方正楷体_GBK"/>
          <w:b/>
          <w:szCs w:val="32"/>
        </w:rPr>
        <w:t>符合条件的已交付小区</w:t>
      </w:r>
    </w:p>
    <w:p>
      <w:pPr>
        <w:adjustRightInd w:val="0"/>
        <w:snapToGrid w:val="0"/>
        <w:spacing w:line="560" w:lineRule="exact"/>
        <w:ind w:firstLine="640"/>
        <w:rPr>
          <w:rFonts w:eastAsia="方正仿宋_GBK"/>
          <w:szCs w:val="32"/>
        </w:rPr>
      </w:pPr>
      <w:r>
        <w:rPr>
          <w:rFonts w:eastAsia="方正仿宋_GBK"/>
          <w:szCs w:val="32"/>
        </w:rPr>
        <w:t>（1）居住区车位属于非人防车位，原则上无条件开放充电设施安装许可。居民申请电动汽车自用充电桩报装手续，只需提供申请人合法有效的身份证明、车位证明（申请人使用的车位属租赁他人的，还需提交出租人</w:t>
      </w:r>
      <w:r>
        <w:rPr>
          <w:rFonts w:hint="eastAsia" w:eastAsia="方正仿宋_GBK"/>
          <w:szCs w:val="32"/>
        </w:rPr>
        <w:t>同意</w:t>
      </w:r>
      <w:r>
        <w:rPr>
          <w:rFonts w:eastAsia="方正仿宋_GBK"/>
          <w:szCs w:val="32"/>
        </w:rPr>
        <w:t>安装充电桩的证明）及电动汽车拥有证明，即可向国网淮安供电公司申请电动汽车自用充电桩用电报装，由物业整体出具《充电桩申请用电同意证明》。同时小区物业应积极配合国网淮安供电公司电气施工，不得无故阻挠，不得擅自设置“门槛”，不得收取无实质性服务内容的费用。</w:t>
      </w:r>
    </w:p>
    <w:p>
      <w:pPr>
        <w:adjustRightInd w:val="0"/>
        <w:snapToGrid w:val="0"/>
        <w:spacing w:line="560" w:lineRule="exact"/>
        <w:ind w:firstLine="640"/>
        <w:rPr>
          <w:rFonts w:eastAsia="方正仿宋_GBK"/>
          <w:szCs w:val="32"/>
        </w:rPr>
      </w:pPr>
      <w:r>
        <w:rPr>
          <w:rFonts w:eastAsia="方正仿宋_GBK"/>
          <w:szCs w:val="32"/>
        </w:rPr>
        <w:t>（2）居住区车位属于人防车位，对于人防车位或者实际施工中涉及管线等途径人防区域的，由国网淮安供电公司牵头，会同区住建部门、人防部门、消防部门、供电企业、联合相关物业服务企业（业主委员会、居民委员会），对小区充电设施安装现场联合勘查，结合车位布局、充电桩设立地点、供配电设施建设及可开放容量、消防等情况，确定是否具备充电设施安装条件。</w:t>
      </w:r>
    </w:p>
    <w:p>
      <w:pPr>
        <w:adjustRightInd w:val="0"/>
        <w:snapToGrid w:val="0"/>
        <w:spacing w:line="560" w:lineRule="exact"/>
        <w:ind w:firstLine="643"/>
        <w:rPr>
          <w:rFonts w:eastAsia="方正楷体_GBK"/>
          <w:b/>
          <w:szCs w:val="32"/>
        </w:rPr>
      </w:pPr>
      <w:r>
        <w:rPr>
          <w:rFonts w:eastAsia="方正楷体_GBK"/>
          <w:b/>
          <w:szCs w:val="32"/>
        </w:rPr>
        <w:t>3</w:t>
      </w:r>
      <w:r>
        <w:rPr>
          <w:rFonts w:hint="eastAsia" w:hAnsi="方正楷体_GBK" w:eastAsia="方正楷体_GBK"/>
          <w:b/>
          <w:szCs w:val="32"/>
        </w:rPr>
        <w:t>.</w:t>
      </w:r>
      <w:r>
        <w:rPr>
          <w:rFonts w:hAnsi="方正楷体_GBK" w:eastAsia="方正楷体_GBK"/>
          <w:b/>
          <w:szCs w:val="32"/>
        </w:rPr>
        <w:t>符合条件的新建居住区</w:t>
      </w:r>
    </w:p>
    <w:p>
      <w:pPr>
        <w:adjustRightInd w:val="0"/>
        <w:snapToGrid w:val="0"/>
        <w:spacing w:line="560" w:lineRule="exact"/>
        <w:ind w:firstLine="640"/>
        <w:rPr>
          <w:rFonts w:eastAsia="方正仿宋_GBK"/>
          <w:szCs w:val="32"/>
        </w:rPr>
      </w:pPr>
      <w:r>
        <w:rPr>
          <w:rFonts w:eastAsia="方正仿宋_GBK"/>
          <w:szCs w:val="32"/>
        </w:rPr>
        <w:t>新建、改建居住小区所有车位应100%预留充电设施安装条件，100%预留电力容量，并按不低于总车位1/3比例配建充电设施。</w:t>
      </w:r>
    </w:p>
    <w:p>
      <w:pPr>
        <w:adjustRightInd w:val="0"/>
        <w:snapToGrid w:val="0"/>
        <w:spacing w:line="560" w:lineRule="exact"/>
        <w:ind w:firstLine="640"/>
        <w:rPr>
          <w:rFonts w:eastAsia="黑体"/>
          <w:szCs w:val="32"/>
        </w:rPr>
      </w:pPr>
      <w:r>
        <w:rPr>
          <w:rFonts w:hAnsi="黑体" w:eastAsia="黑体"/>
          <w:szCs w:val="32"/>
        </w:rPr>
        <w:t>四、工作要求</w:t>
      </w:r>
    </w:p>
    <w:p>
      <w:pPr>
        <w:adjustRightInd w:val="0"/>
        <w:snapToGrid w:val="0"/>
        <w:spacing w:line="560" w:lineRule="exact"/>
        <w:ind w:firstLine="643"/>
        <w:rPr>
          <w:rFonts w:eastAsia="方正楷体_GBK"/>
          <w:b/>
          <w:szCs w:val="32"/>
        </w:rPr>
      </w:pPr>
      <w:r>
        <w:rPr>
          <w:rFonts w:eastAsia="方正楷体_GBK"/>
          <w:b/>
          <w:szCs w:val="32"/>
        </w:rPr>
        <w:t>1</w:t>
      </w:r>
      <w:r>
        <w:rPr>
          <w:rFonts w:hint="eastAsia" w:hAnsi="方正楷体_GBK" w:eastAsia="方正楷体_GBK"/>
          <w:b/>
          <w:szCs w:val="32"/>
        </w:rPr>
        <w:t>.</w:t>
      </w:r>
      <w:r>
        <w:rPr>
          <w:rFonts w:hAnsi="方正楷体_GBK" w:eastAsia="方正楷体_GBK"/>
          <w:b/>
          <w:szCs w:val="32"/>
        </w:rPr>
        <w:t>加强安全管理</w:t>
      </w:r>
    </w:p>
    <w:p>
      <w:pPr>
        <w:adjustRightInd w:val="0"/>
        <w:snapToGrid w:val="0"/>
        <w:spacing w:line="560" w:lineRule="exact"/>
        <w:ind w:firstLine="640"/>
        <w:rPr>
          <w:rFonts w:eastAsia="方正仿宋_GBK"/>
          <w:szCs w:val="32"/>
        </w:rPr>
      </w:pPr>
      <w:r>
        <w:rPr>
          <w:rFonts w:eastAsia="方正仿宋_GBK"/>
          <w:szCs w:val="32"/>
        </w:rPr>
        <w:t>居民住宅小区电动汽车自用充电基础设施</w:t>
      </w:r>
      <w:r>
        <w:rPr>
          <w:rFonts w:hint="eastAsia" w:eastAsia="方正仿宋_GBK"/>
          <w:szCs w:val="32"/>
        </w:rPr>
        <w:t>安全</w:t>
      </w:r>
      <w:r>
        <w:rPr>
          <w:rFonts w:eastAsia="方正仿宋_GBK"/>
          <w:szCs w:val="32"/>
        </w:rPr>
        <w:t>生产实行属地管理原则，各街道要将自用充电基础设施纳入居民住宅小区安全管理体系中，按照职责加大对私拉乱接、违规用电、违规施工等行为的查处力度发现自用充电基础设施存在安全隐患的，应及时通知物业服务企业和自用充电基础设施所有人，明确整改要求，责令自用充电基础设施所有人限时整改。</w:t>
      </w:r>
    </w:p>
    <w:p>
      <w:pPr>
        <w:adjustRightInd w:val="0"/>
        <w:snapToGrid w:val="0"/>
        <w:spacing w:line="560" w:lineRule="exact"/>
        <w:ind w:firstLine="643"/>
        <w:rPr>
          <w:rFonts w:eastAsia="方正楷体_GBK"/>
          <w:b/>
          <w:szCs w:val="32"/>
        </w:rPr>
      </w:pPr>
      <w:r>
        <w:rPr>
          <w:rFonts w:eastAsia="方正楷体_GBK"/>
          <w:b/>
          <w:szCs w:val="32"/>
        </w:rPr>
        <w:t>2</w:t>
      </w:r>
      <w:r>
        <w:rPr>
          <w:rFonts w:hint="eastAsia" w:hAnsi="方正楷体_GBK" w:eastAsia="方正楷体_GBK"/>
          <w:b/>
          <w:szCs w:val="32"/>
        </w:rPr>
        <w:t>.</w:t>
      </w:r>
      <w:r>
        <w:rPr>
          <w:rFonts w:hAnsi="方正楷体_GBK" w:eastAsia="方正楷体_GBK"/>
          <w:b/>
          <w:szCs w:val="32"/>
        </w:rPr>
        <w:t>建立服务体系</w:t>
      </w:r>
    </w:p>
    <w:p>
      <w:pPr>
        <w:adjustRightInd w:val="0"/>
        <w:snapToGrid w:val="0"/>
        <w:spacing w:line="560" w:lineRule="exact"/>
        <w:ind w:firstLine="640"/>
        <w:rPr>
          <w:rFonts w:eastAsia="方正仿宋_GBK"/>
          <w:szCs w:val="32"/>
        </w:rPr>
      </w:pPr>
      <w:r>
        <w:rPr>
          <w:rFonts w:eastAsia="方正仿宋_GBK"/>
          <w:szCs w:val="32"/>
        </w:rPr>
        <w:t>建立住建、消防、发改、供电等涉及居民充电桩建设、管理等相关主体的协调服务体系，建立工作服务群，贯通多方服务流程，保障居民住宅小区电动汽车自用充电桩报装接电更便利。</w:t>
      </w:r>
    </w:p>
    <w:p>
      <w:pPr>
        <w:adjustRightInd w:val="0"/>
        <w:snapToGrid w:val="0"/>
        <w:spacing w:line="560" w:lineRule="exact"/>
        <w:ind w:firstLine="643"/>
        <w:rPr>
          <w:rFonts w:eastAsia="方正楷体_GBK"/>
          <w:b/>
          <w:szCs w:val="32"/>
        </w:rPr>
      </w:pPr>
      <w:r>
        <w:rPr>
          <w:rFonts w:eastAsia="方正楷体_GBK"/>
          <w:b/>
          <w:szCs w:val="32"/>
        </w:rPr>
        <w:t>3</w:t>
      </w:r>
      <w:r>
        <w:rPr>
          <w:rFonts w:hint="eastAsia" w:hAnsi="方正楷体_GBK" w:eastAsia="方正楷体_GBK"/>
          <w:b/>
          <w:szCs w:val="32"/>
        </w:rPr>
        <w:t>.</w:t>
      </w:r>
      <w:r>
        <w:rPr>
          <w:rFonts w:hAnsi="方正楷体_GBK" w:eastAsia="方正楷体_GBK"/>
          <w:b/>
          <w:szCs w:val="32"/>
        </w:rPr>
        <w:t>做好诉求响应</w:t>
      </w:r>
    </w:p>
    <w:p>
      <w:pPr>
        <w:adjustRightInd w:val="0"/>
        <w:snapToGrid w:val="0"/>
        <w:spacing w:line="560" w:lineRule="exact"/>
        <w:ind w:firstLine="640"/>
        <w:rPr>
          <w:rFonts w:eastAsia="方正仿宋_GBK"/>
          <w:szCs w:val="32"/>
        </w:rPr>
      </w:pPr>
      <w:r>
        <w:rPr>
          <w:rFonts w:eastAsia="方正仿宋_GBK"/>
          <w:szCs w:val="32"/>
        </w:rPr>
        <w:t>建立居民充电桩建设服务负面清单并定期通报，对居民通过各种渠道反映的充电设施建设、报装接电等诉求，积极回应、加快处置，及时满足民生诉求。</w:t>
      </w:r>
    </w:p>
    <w:p>
      <w:pPr>
        <w:adjustRightInd w:val="0"/>
        <w:snapToGrid w:val="0"/>
        <w:spacing w:line="560" w:lineRule="exact"/>
        <w:ind w:firstLine="643"/>
        <w:rPr>
          <w:rFonts w:eastAsia="方正楷体_GBK"/>
          <w:b/>
          <w:szCs w:val="32"/>
        </w:rPr>
      </w:pPr>
      <w:r>
        <w:rPr>
          <w:rFonts w:eastAsia="方正楷体_GBK"/>
          <w:b/>
          <w:szCs w:val="32"/>
        </w:rPr>
        <w:t>4</w:t>
      </w:r>
      <w:r>
        <w:rPr>
          <w:rFonts w:hint="eastAsia" w:hAnsi="方正楷体_GBK" w:eastAsia="方正楷体_GBK"/>
          <w:b/>
          <w:szCs w:val="32"/>
        </w:rPr>
        <w:t>.</w:t>
      </w:r>
      <w:r>
        <w:rPr>
          <w:rFonts w:hAnsi="方正楷体_GBK" w:eastAsia="方正楷体_GBK"/>
          <w:b/>
          <w:szCs w:val="32"/>
        </w:rPr>
        <w:t>规范施工标准</w:t>
      </w:r>
    </w:p>
    <w:p>
      <w:pPr>
        <w:adjustRightInd w:val="0"/>
        <w:snapToGrid w:val="0"/>
        <w:spacing w:line="560" w:lineRule="exact"/>
        <w:ind w:firstLine="640"/>
        <w:rPr>
          <w:rFonts w:eastAsia="方正仿宋_GBK"/>
          <w:szCs w:val="32"/>
        </w:rPr>
      </w:pPr>
      <w:r>
        <w:rPr>
          <w:rFonts w:eastAsia="方正仿宋_GBK"/>
          <w:szCs w:val="32"/>
        </w:rPr>
        <w:t>在居民自用充电桩安装前，报装申请人、充电设施施工单位以及物业服务企业，应当严格落实《关于进一步提升电动汽车充电基础设施服务保障能力的实施意见》（发改能源规〔2022〕53号）文件要求。充电设施施工单位人员应统一着装进驻小区施工，物业服务企业应当协调配合充电设施施工单位，并加强现场管理，督促各方严格履行职责义务，规范充电设施建设施工标准。</w:t>
      </w:r>
    </w:p>
    <w:p>
      <w:pPr>
        <w:adjustRightInd w:val="0"/>
        <w:snapToGrid w:val="0"/>
        <w:spacing w:line="560" w:lineRule="exact"/>
        <w:ind w:firstLine="640"/>
        <w:rPr>
          <w:rFonts w:ascii="黑体" w:hAnsi="黑体" w:eastAsia="黑体"/>
          <w:szCs w:val="32"/>
        </w:rPr>
      </w:pPr>
      <w:r>
        <w:rPr>
          <w:rFonts w:ascii="黑体" w:hAnsi="黑体" w:eastAsia="黑体"/>
          <w:szCs w:val="32"/>
        </w:rPr>
        <w:t>五、职责义务</w:t>
      </w:r>
    </w:p>
    <w:p>
      <w:pPr>
        <w:adjustRightInd w:val="0"/>
        <w:snapToGrid w:val="0"/>
        <w:spacing w:line="560" w:lineRule="exact"/>
        <w:ind w:firstLine="643"/>
        <w:rPr>
          <w:rFonts w:eastAsia="方正仿宋_GBK"/>
          <w:szCs w:val="32"/>
        </w:rPr>
      </w:pPr>
      <w:r>
        <w:rPr>
          <w:rFonts w:hAnsi="方正楷体_GBK" w:eastAsia="方正楷体_GBK"/>
          <w:b/>
          <w:szCs w:val="32"/>
        </w:rPr>
        <w:t>使用人</w:t>
      </w:r>
      <w:r>
        <w:rPr>
          <w:rFonts w:eastAsia="方正仿宋_GBK"/>
          <w:szCs w:val="32"/>
        </w:rPr>
        <w:t xml:space="preserve">  充电设施使用人在使用期间，承担安全管理主体责任，应当自觉对电动汽车自用充电设施维护保养，及时消除安全隐患。租赁期满或其他原因不再租赁人防车位时，须无条件负责拆除并恢复原状。</w:t>
      </w:r>
    </w:p>
    <w:p>
      <w:pPr>
        <w:adjustRightInd w:val="0"/>
        <w:snapToGrid w:val="0"/>
        <w:spacing w:line="560" w:lineRule="exact"/>
        <w:ind w:firstLine="643"/>
        <w:rPr>
          <w:rFonts w:eastAsia="方正仿宋_GBK"/>
          <w:szCs w:val="32"/>
        </w:rPr>
      </w:pPr>
      <w:r>
        <w:rPr>
          <w:rFonts w:hAnsi="方正楷体_GBK" w:eastAsia="方正楷体_GBK"/>
          <w:b/>
          <w:szCs w:val="32"/>
        </w:rPr>
        <w:t>物业服务企业</w:t>
      </w:r>
      <w:r>
        <w:rPr>
          <w:rFonts w:eastAsia="方正仿宋_GBK"/>
          <w:szCs w:val="32"/>
        </w:rPr>
        <w:t xml:space="preserve">  物业服务企业应当积极支持和配合电动汽车充电设施建设安装工作，包括现场勘查、提供相关图纸或指认停车区域内电源位置及暗埋管线的走向等。如小区物业发生变更，新旧物业企业要做好所在小区电动汽车充电设施建设交接工作，新物业企业及时重新整体签订《充电桩申请用电同意证明》并向区住建部门和国网淮安供电公司报备。物业企业如发现私拉乱接、违规施工，特别是人防区域不按规定穿墙打孔等影响人防工程防护效能等违法行为，应及时主动制止并向主管部门反映，确保人防工程正常安全使用。</w:t>
      </w:r>
    </w:p>
    <w:p>
      <w:pPr>
        <w:adjustRightInd w:val="0"/>
        <w:snapToGrid w:val="0"/>
        <w:spacing w:line="560" w:lineRule="exact"/>
        <w:ind w:firstLine="643"/>
        <w:rPr>
          <w:rFonts w:eastAsia="方正仿宋_GBK"/>
          <w:szCs w:val="32"/>
        </w:rPr>
      </w:pPr>
      <w:r>
        <w:rPr>
          <w:rFonts w:hAnsi="方正楷体_GBK" w:eastAsia="方正楷体_GBK"/>
          <w:b/>
          <w:szCs w:val="32"/>
        </w:rPr>
        <w:t>区住房和城乡建设局</w:t>
      </w:r>
      <w:r>
        <w:rPr>
          <w:rFonts w:eastAsia="方正仿宋_GBK"/>
          <w:szCs w:val="32"/>
        </w:rPr>
        <w:t xml:space="preserve">  负责指导各街道物业行政主管部门、协调物业服务企业推动居民住宅小区电动汽车自用充电基础设施建设安装工作，将小区充电设施建设服务纳入物业服务企业评优评先指标体系，对于完成较好的予以通报表扬、对于阻挠或妨碍充电设施建设的取消物业企业评先评优资格，执行物业企业负面行为“零容忍”管理机制，做到发现一起</w:t>
      </w:r>
      <w:r>
        <w:rPr>
          <w:rFonts w:hint="eastAsia" w:eastAsia="方正仿宋_GBK"/>
          <w:szCs w:val="32"/>
        </w:rPr>
        <w:t>、</w:t>
      </w:r>
      <w:r>
        <w:rPr>
          <w:rFonts w:eastAsia="方正仿宋_GBK"/>
          <w:szCs w:val="32"/>
        </w:rPr>
        <w:t>处理一起、通报一起。负责居民住宅小区人防区域安装使用电动汽车自用充电基础设施过程中相关防护功能的检查和监督，确保人防工程功能完好。</w:t>
      </w:r>
    </w:p>
    <w:p>
      <w:pPr>
        <w:adjustRightInd w:val="0"/>
        <w:snapToGrid w:val="0"/>
        <w:spacing w:line="560" w:lineRule="exact"/>
        <w:ind w:firstLine="643"/>
        <w:rPr>
          <w:rFonts w:eastAsia="方正仿宋_GBK"/>
          <w:szCs w:val="32"/>
        </w:rPr>
      </w:pPr>
      <w:r>
        <w:rPr>
          <w:rFonts w:hAnsi="方正楷体_GBK" w:eastAsia="方正楷体_GBK"/>
          <w:b/>
          <w:szCs w:val="32"/>
        </w:rPr>
        <w:t>区消防救援大队</w:t>
      </w:r>
      <w:r>
        <w:rPr>
          <w:rFonts w:eastAsia="方正仿宋_GBK"/>
          <w:szCs w:val="32"/>
        </w:rPr>
        <w:t xml:space="preserve">  负责加强居民住宅小区电动汽车自用充电基础设施消防安全管理工作，指导各单位做好充换电设施消防安全管理，组织开展电动汽车火灾事故的灭火救援和调查处理工作。</w:t>
      </w:r>
    </w:p>
    <w:p>
      <w:pPr>
        <w:adjustRightInd w:val="0"/>
        <w:snapToGrid w:val="0"/>
        <w:spacing w:line="560" w:lineRule="exact"/>
        <w:ind w:firstLine="643"/>
        <w:rPr>
          <w:rFonts w:eastAsia="方正仿宋_GBK"/>
          <w:szCs w:val="32"/>
        </w:rPr>
      </w:pPr>
      <w:r>
        <w:rPr>
          <w:rFonts w:hAnsi="方正楷体_GBK" w:eastAsia="方正楷体_GBK"/>
          <w:b/>
          <w:szCs w:val="32"/>
        </w:rPr>
        <w:t>区</w:t>
      </w:r>
      <w:r>
        <w:rPr>
          <w:rFonts w:hint="eastAsia" w:hAnsi="方正楷体_GBK" w:eastAsia="方正楷体_GBK"/>
          <w:b/>
          <w:szCs w:val="32"/>
        </w:rPr>
        <w:t>经济</w:t>
      </w:r>
      <w:r>
        <w:rPr>
          <w:rFonts w:hAnsi="方正楷体_GBK" w:eastAsia="方正楷体_GBK"/>
          <w:b/>
          <w:szCs w:val="32"/>
        </w:rPr>
        <w:t>发展局</w:t>
      </w:r>
      <w:r>
        <w:rPr>
          <w:rFonts w:eastAsia="方正楷体_GBK"/>
          <w:b/>
          <w:szCs w:val="32"/>
        </w:rPr>
        <w:t xml:space="preserve"> </w:t>
      </w:r>
      <w:r>
        <w:rPr>
          <w:rFonts w:eastAsia="方正仿宋_GBK"/>
          <w:szCs w:val="32"/>
        </w:rPr>
        <w:t xml:space="preserve"> 负责协调国网淮安供电公司推进电网设施建设、完善相关工作</w:t>
      </w:r>
      <w:r>
        <w:rPr>
          <w:rFonts w:hint="eastAsia" w:eastAsia="方正仿宋_GBK"/>
          <w:szCs w:val="32"/>
        </w:rPr>
        <w:t>，</w:t>
      </w:r>
      <w:r>
        <w:rPr>
          <w:rFonts w:eastAsia="方正仿宋_GBK"/>
          <w:szCs w:val="32"/>
        </w:rPr>
        <w:t>配合推进全区居民住宅小区电动汽车自用充电基础</w:t>
      </w:r>
      <w:r>
        <w:rPr>
          <w:rFonts w:hint="eastAsia" w:eastAsia="方正仿宋_GBK"/>
          <w:szCs w:val="32"/>
        </w:rPr>
        <w:t>设施</w:t>
      </w:r>
      <w:r>
        <w:rPr>
          <w:rFonts w:eastAsia="方正仿宋_GBK"/>
          <w:szCs w:val="32"/>
        </w:rPr>
        <w:t>建设工作。</w:t>
      </w:r>
    </w:p>
    <w:p>
      <w:pPr>
        <w:adjustRightInd w:val="0"/>
        <w:snapToGrid w:val="0"/>
        <w:spacing w:line="560" w:lineRule="exact"/>
        <w:ind w:firstLine="643"/>
        <w:rPr>
          <w:rFonts w:eastAsia="方正仿宋_GBK"/>
          <w:szCs w:val="32"/>
        </w:rPr>
      </w:pPr>
      <w:r>
        <w:rPr>
          <w:rFonts w:hAnsi="方正楷体_GBK" w:eastAsia="方正楷体_GBK"/>
          <w:b/>
          <w:szCs w:val="32"/>
        </w:rPr>
        <w:t>国网淮安供电公司</w:t>
      </w:r>
      <w:r>
        <w:rPr>
          <w:rFonts w:hint="eastAsia" w:eastAsia="方正仿宋_GBK"/>
          <w:szCs w:val="32"/>
        </w:rPr>
        <w:t xml:space="preserve">  </w:t>
      </w:r>
      <w:r>
        <w:rPr>
          <w:rFonts w:eastAsia="方正仿宋_GBK"/>
          <w:szCs w:val="32"/>
        </w:rPr>
        <w:t>做好居民住宅小区电网设施建设完善有关工作，协调解决因居民住宅小区电动汽车充电基础接入引起的电力增容事项，做好居民充电桩报装接电优质服务工作。</w:t>
      </w:r>
    </w:p>
    <w:p>
      <w:pPr>
        <w:adjustRightInd w:val="0"/>
        <w:snapToGrid w:val="0"/>
        <w:spacing w:line="560" w:lineRule="exact"/>
        <w:ind w:firstLine="643"/>
        <w:rPr>
          <w:rFonts w:eastAsia="方正仿宋_GBK"/>
          <w:szCs w:val="32"/>
        </w:rPr>
      </w:pPr>
      <w:r>
        <w:rPr>
          <w:rFonts w:hAnsi="方正楷体_GBK" w:eastAsia="方正楷体_GBK"/>
          <w:b/>
          <w:szCs w:val="32"/>
        </w:rPr>
        <w:t>区</w:t>
      </w:r>
      <w:r>
        <w:rPr>
          <w:rFonts w:hint="eastAsia" w:hAnsi="方正楷体_GBK" w:eastAsia="方正楷体_GBK"/>
          <w:b/>
          <w:szCs w:val="32"/>
        </w:rPr>
        <w:t xml:space="preserve">综合行政执法局 </w:t>
      </w:r>
      <w:r>
        <w:rPr>
          <w:rFonts w:eastAsia="方正仿宋_GBK"/>
          <w:szCs w:val="32"/>
        </w:rPr>
        <w:t>负责配合区有关部门开展电动汽车重大安全事故的应急救援工作，依法依规组织生产安全事故的调查处理工作。</w:t>
      </w:r>
    </w:p>
    <w:p>
      <w:pPr>
        <w:adjustRightInd w:val="0"/>
        <w:snapToGrid w:val="0"/>
        <w:spacing w:line="560" w:lineRule="exact"/>
        <w:ind w:firstLine="643"/>
        <w:rPr>
          <w:rFonts w:eastAsia="方正仿宋_GBK"/>
          <w:szCs w:val="32"/>
        </w:rPr>
      </w:pPr>
      <w:r>
        <w:rPr>
          <w:rFonts w:hint="eastAsia" w:hAnsi="方正楷体_GBK" w:eastAsia="方正楷体_GBK"/>
          <w:b/>
          <w:szCs w:val="32"/>
        </w:rPr>
        <w:t>自然资源和规划局经济技术开发区分局</w:t>
      </w:r>
      <w:r>
        <w:rPr>
          <w:rFonts w:eastAsia="方正仿宋_GBK"/>
          <w:szCs w:val="32"/>
        </w:rPr>
        <w:t xml:space="preserve"> </w:t>
      </w:r>
      <w:r>
        <w:rPr>
          <w:rFonts w:hint="eastAsia" w:eastAsia="方正仿宋_GBK"/>
          <w:szCs w:val="32"/>
        </w:rPr>
        <w:t xml:space="preserve"> </w:t>
      </w:r>
      <w:r>
        <w:rPr>
          <w:rFonts w:eastAsia="方正仿宋_GBK"/>
          <w:szCs w:val="32"/>
        </w:rPr>
        <w:t>负责将居民住宅小区</w:t>
      </w:r>
      <w:r>
        <w:rPr>
          <w:rFonts w:hint="eastAsia" w:eastAsia="方正仿宋_GBK"/>
          <w:szCs w:val="32"/>
        </w:rPr>
        <w:t>电动</w:t>
      </w:r>
      <w:r>
        <w:rPr>
          <w:rFonts w:eastAsia="方正仿宋_GBK"/>
          <w:szCs w:val="32"/>
        </w:rPr>
        <w:t>汽车</w:t>
      </w:r>
      <w:r>
        <w:rPr>
          <w:rFonts w:hint="eastAsia" w:eastAsia="方正仿宋_GBK"/>
          <w:szCs w:val="32"/>
        </w:rPr>
        <w:t>充电</w:t>
      </w:r>
      <w:r>
        <w:rPr>
          <w:rFonts w:eastAsia="方正仿宋_GBK"/>
          <w:szCs w:val="32"/>
        </w:rPr>
        <w:t>设施配套要求纳入居住用地规划条件。</w:t>
      </w:r>
    </w:p>
    <w:p>
      <w:pPr>
        <w:spacing w:line="560" w:lineRule="exact"/>
        <w:ind w:firstLine="0" w:firstLineChars="0"/>
        <w:jc w:val="center"/>
        <w:rPr>
          <w:rFonts w:eastAsia="方正仿宋_GBK"/>
          <w:szCs w:val="32"/>
        </w:rPr>
      </w:pPr>
    </w:p>
    <w:sectPr>
      <w:headerReference r:id="rId5" w:type="default"/>
      <w:footerReference r:id="rId6" w:type="default"/>
      <w:pgSz w:w="11906" w:h="16838"/>
      <w:pgMar w:top="1417" w:right="1474" w:bottom="1417" w:left="1587" w:header="851" w:footer="992" w:gutter="0"/>
      <w:paperSrc/>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560"/>
      <w:jc w:val="center"/>
      <w:rPr>
        <w:rFonts w:ascii="宋体" w:hAnsi="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ZWRmZjVjNzQ5ZmVhNGIxMTRkMDI0MzdmNmZiNmEifQ=="/>
  </w:docVars>
  <w:rsids>
    <w:rsidRoot w:val="00172A27"/>
    <w:rsid w:val="00035811"/>
    <w:rsid w:val="00114DA1"/>
    <w:rsid w:val="00121CE6"/>
    <w:rsid w:val="0015477A"/>
    <w:rsid w:val="00171F5F"/>
    <w:rsid w:val="00172A27"/>
    <w:rsid w:val="0019264B"/>
    <w:rsid w:val="001E4DBB"/>
    <w:rsid w:val="0021186E"/>
    <w:rsid w:val="0022789E"/>
    <w:rsid w:val="00280E48"/>
    <w:rsid w:val="00286948"/>
    <w:rsid w:val="002914C5"/>
    <w:rsid w:val="002A077D"/>
    <w:rsid w:val="002F1C97"/>
    <w:rsid w:val="00301849"/>
    <w:rsid w:val="00303E99"/>
    <w:rsid w:val="00341B66"/>
    <w:rsid w:val="00360888"/>
    <w:rsid w:val="00365C65"/>
    <w:rsid w:val="00380CBF"/>
    <w:rsid w:val="003B265D"/>
    <w:rsid w:val="003E7C47"/>
    <w:rsid w:val="003F10C7"/>
    <w:rsid w:val="00427870"/>
    <w:rsid w:val="0048751B"/>
    <w:rsid w:val="004F3101"/>
    <w:rsid w:val="004F4892"/>
    <w:rsid w:val="0052445F"/>
    <w:rsid w:val="00546D79"/>
    <w:rsid w:val="005E568D"/>
    <w:rsid w:val="005F5CBA"/>
    <w:rsid w:val="00602875"/>
    <w:rsid w:val="006237F3"/>
    <w:rsid w:val="00637F57"/>
    <w:rsid w:val="00641C7A"/>
    <w:rsid w:val="0065062B"/>
    <w:rsid w:val="00650D9E"/>
    <w:rsid w:val="00656F22"/>
    <w:rsid w:val="00666D87"/>
    <w:rsid w:val="00686AF6"/>
    <w:rsid w:val="006902FB"/>
    <w:rsid w:val="00695BFE"/>
    <w:rsid w:val="006A7C5A"/>
    <w:rsid w:val="006C761F"/>
    <w:rsid w:val="006D2C0F"/>
    <w:rsid w:val="00723993"/>
    <w:rsid w:val="00767DCA"/>
    <w:rsid w:val="0078749E"/>
    <w:rsid w:val="007A0DCD"/>
    <w:rsid w:val="007D7C83"/>
    <w:rsid w:val="007E26F2"/>
    <w:rsid w:val="007F0836"/>
    <w:rsid w:val="00811E18"/>
    <w:rsid w:val="008210D5"/>
    <w:rsid w:val="008401AC"/>
    <w:rsid w:val="008573FD"/>
    <w:rsid w:val="008932F4"/>
    <w:rsid w:val="00897FF9"/>
    <w:rsid w:val="008F3212"/>
    <w:rsid w:val="00901EA0"/>
    <w:rsid w:val="00911DD7"/>
    <w:rsid w:val="00915CCC"/>
    <w:rsid w:val="00927033"/>
    <w:rsid w:val="00956781"/>
    <w:rsid w:val="00966F25"/>
    <w:rsid w:val="00983A5A"/>
    <w:rsid w:val="009A326D"/>
    <w:rsid w:val="009E7F7F"/>
    <w:rsid w:val="009F51FE"/>
    <w:rsid w:val="00A45A5D"/>
    <w:rsid w:val="00A71111"/>
    <w:rsid w:val="00A73A7F"/>
    <w:rsid w:val="00AB7D49"/>
    <w:rsid w:val="00AC6313"/>
    <w:rsid w:val="00AD24C2"/>
    <w:rsid w:val="00AD5ABB"/>
    <w:rsid w:val="00AF029B"/>
    <w:rsid w:val="00B41EC6"/>
    <w:rsid w:val="00B657DC"/>
    <w:rsid w:val="00B9095D"/>
    <w:rsid w:val="00BB3F94"/>
    <w:rsid w:val="00BC59DC"/>
    <w:rsid w:val="00BD7B82"/>
    <w:rsid w:val="00BE4B91"/>
    <w:rsid w:val="00BF776A"/>
    <w:rsid w:val="00C02A54"/>
    <w:rsid w:val="00C10805"/>
    <w:rsid w:val="00C301C7"/>
    <w:rsid w:val="00C82179"/>
    <w:rsid w:val="00CA13B8"/>
    <w:rsid w:val="00CB0239"/>
    <w:rsid w:val="00D04FC9"/>
    <w:rsid w:val="00D1706B"/>
    <w:rsid w:val="00D23CE1"/>
    <w:rsid w:val="00D26E38"/>
    <w:rsid w:val="00D635AF"/>
    <w:rsid w:val="00D7535A"/>
    <w:rsid w:val="00DB7B29"/>
    <w:rsid w:val="00DF70D2"/>
    <w:rsid w:val="00DF7FFC"/>
    <w:rsid w:val="00E375A8"/>
    <w:rsid w:val="00ED3270"/>
    <w:rsid w:val="00F06009"/>
    <w:rsid w:val="00F1004E"/>
    <w:rsid w:val="00F12F68"/>
    <w:rsid w:val="00F275B4"/>
    <w:rsid w:val="00F87DF9"/>
    <w:rsid w:val="00F90616"/>
    <w:rsid w:val="00FA2E50"/>
    <w:rsid w:val="00FA768B"/>
    <w:rsid w:val="00FB5EE1"/>
    <w:rsid w:val="00FD0EC4"/>
    <w:rsid w:val="04EA1739"/>
    <w:rsid w:val="05013B5F"/>
    <w:rsid w:val="053B5047"/>
    <w:rsid w:val="09D74CC1"/>
    <w:rsid w:val="10DD34C9"/>
    <w:rsid w:val="112A7487"/>
    <w:rsid w:val="145E73D6"/>
    <w:rsid w:val="14D71E1E"/>
    <w:rsid w:val="17672AEC"/>
    <w:rsid w:val="18090774"/>
    <w:rsid w:val="185D6A26"/>
    <w:rsid w:val="19727EB8"/>
    <w:rsid w:val="1A6221C7"/>
    <w:rsid w:val="1C26018C"/>
    <w:rsid w:val="1D2D7DC7"/>
    <w:rsid w:val="1D52477B"/>
    <w:rsid w:val="1D821753"/>
    <w:rsid w:val="1F2C4A0D"/>
    <w:rsid w:val="211047AF"/>
    <w:rsid w:val="23ED67E8"/>
    <w:rsid w:val="25621648"/>
    <w:rsid w:val="265D65F4"/>
    <w:rsid w:val="27B64475"/>
    <w:rsid w:val="2D273680"/>
    <w:rsid w:val="2F867E52"/>
    <w:rsid w:val="34E74F8C"/>
    <w:rsid w:val="3841083B"/>
    <w:rsid w:val="3BF93E20"/>
    <w:rsid w:val="402E6B3B"/>
    <w:rsid w:val="40586348"/>
    <w:rsid w:val="41017400"/>
    <w:rsid w:val="41F0524F"/>
    <w:rsid w:val="45807B25"/>
    <w:rsid w:val="47E50238"/>
    <w:rsid w:val="4DC6286F"/>
    <w:rsid w:val="4FD91300"/>
    <w:rsid w:val="4FE005C7"/>
    <w:rsid w:val="5072335D"/>
    <w:rsid w:val="534209E5"/>
    <w:rsid w:val="535F31DD"/>
    <w:rsid w:val="56933B8B"/>
    <w:rsid w:val="5FE505B4"/>
    <w:rsid w:val="61FC4B9F"/>
    <w:rsid w:val="62FF3788"/>
    <w:rsid w:val="631D6B95"/>
    <w:rsid w:val="651D28AE"/>
    <w:rsid w:val="6C8D3EEE"/>
    <w:rsid w:val="7023640B"/>
    <w:rsid w:val="70736BC2"/>
    <w:rsid w:val="71722ABA"/>
    <w:rsid w:val="72375433"/>
    <w:rsid w:val="74D87866"/>
    <w:rsid w:val="76BD4706"/>
    <w:rsid w:val="782C21B5"/>
    <w:rsid w:val="7A606BE9"/>
    <w:rsid w:val="7BBF3E8E"/>
    <w:rsid w:val="7C012210"/>
    <w:rsid w:val="7D580DCD"/>
    <w:rsid w:val="7F1C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4"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8"/>
    <w:qFormat/>
    <w:uiPriority w:val="0"/>
    <w:pPr>
      <w:keepNext/>
      <w:keepLines/>
      <w:ind w:firstLine="0" w:firstLineChars="0"/>
      <w:jc w:val="center"/>
      <w:outlineLvl w:val="0"/>
    </w:pPr>
    <w:rPr>
      <w:rFonts w:eastAsia="黑体"/>
      <w:b/>
      <w:kern w:val="44"/>
      <w:sz w:val="44"/>
    </w:rPr>
  </w:style>
  <w:style w:type="paragraph" w:styleId="3">
    <w:name w:val="heading 2"/>
    <w:basedOn w:val="1"/>
    <w:next w:val="1"/>
    <w:link w:val="16"/>
    <w:unhideWhenUsed/>
    <w:qFormat/>
    <w:uiPriority w:val="0"/>
    <w:pPr>
      <w:keepNext/>
      <w:keepLines/>
      <w:ind w:firstLine="0" w:firstLineChars="0"/>
      <w:jc w:val="center"/>
      <w:outlineLvl w:val="1"/>
    </w:pPr>
    <w:rPr>
      <w:rFonts w:ascii="Arial" w:hAnsi="Arial" w:eastAsia="宋体"/>
      <w:b/>
      <w:sz w:val="36"/>
    </w:rPr>
  </w:style>
  <w:style w:type="paragraph" w:styleId="4">
    <w:name w:val="heading 3"/>
    <w:basedOn w:val="1"/>
    <w:next w:val="1"/>
    <w:unhideWhenUsed/>
    <w:qFormat/>
    <w:uiPriority w:val="0"/>
    <w:pPr>
      <w:keepNext/>
      <w:keepLines/>
      <w:spacing w:before="260" w:after="260" w:line="413" w:lineRule="auto"/>
      <w:outlineLvl w:val="2"/>
    </w:pPr>
    <w:rPr>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7"/>
    <w:qFormat/>
    <w:uiPriority w:val="0"/>
    <w:pPr>
      <w:ind w:left="100" w:leftChars="2500"/>
    </w:pPr>
  </w:style>
  <w:style w:type="paragraph" w:styleId="6">
    <w:name w:val="Balloon Text"/>
    <w:basedOn w:val="1"/>
    <w:link w:val="19"/>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Emphasis"/>
    <w:basedOn w:val="11"/>
    <w:qFormat/>
    <w:uiPriority w:val="0"/>
    <w:rPr>
      <w:i/>
    </w:rPr>
  </w:style>
  <w:style w:type="character" w:styleId="14">
    <w:name w:val="Hyperlink"/>
    <w:basedOn w:val="11"/>
    <w:qFormat/>
    <w:uiPriority w:val="0"/>
    <w:rPr>
      <w:color w:val="0000FF" w:themeColor="hyperlink"/>
      <w:u w:val="single"/>
      <w14:textFill>
        <w14:solidFill>
          <w14:schemeClr w14:val="hlink"/>
        </w14:solidFill>
      </w14:textFill>
    </w:rPr>
  </w:style>
  <w:style w:type="paragraph" w:customStyle="1" w:styleId="15">
    <w:name w:val="p"/>
    <w:basedOn w:val="1"/>
    <w:qFormat/>
    <w:uiPriority w:val="0"/>
  </w:style>
  <w:style w:type="character" w:customStyle="1" w:styleId="16">
    <w:name w:val="标题 2 Char"/>
    <w:link w:val="3"/>
    <w:qFormat/>
    <w:uiPriority w:val="0"/>
    <w:rPr>
      <w:rFonts w:ascii="Arial" w:hAnsi="Arial" w:eastAsia="宋体"/>
      <w:b/>
      <w:sz w:val="36"/>
    </w:rPr>
  </w:style>
  <w:style w:type="character" w:customStyle="1" w:styleId="17">
    <w:name w:val="日期 Char"/>
    <w:basedOn w:val="11"/>
    <w:link w:val="5"/>
    <w:qFormat/>
    <w:uiPriority w:val="0"/>
    <w:rPr>
      <w:rFonts w:eastAsia="仿宋"/>
      <w:kern w:val="2"/>
      <w:sz w:val="32"/>
      <w:szCs w:val="24"/>
    </w:rPr>
  </w:style>
  <w:style w:type="character" w:customStyle="1" w:styleId="18">
    <w:name w:val="标题 1 Char"/>
    <w:basedOn w:val="11"/>
    <w:link w:val="2"/>
    <w:qFormat/>
    <w:uiPriority w:val="0"/>
    <w:rPr>
      <w:rFonts w:eastAsia="黑体"/>
      <w:b/>
      <w:kern w:val="44"/>
      <w:sz w:val="44"/>
      <w:szCs w:val="24"/>
    </w:rPr>
  </w:style>
  <w:style w:type="character" w:customStyle="1" w:styleId="19">
    <w:name w:val="批注框文本 Char"/>
    <w:basedOn w:val="11"/>
    <w:link w:val="6"/>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463</Words>
  <Characters>2645</Characters>
  <Lines>22</Lines>
  <Paragraphs>6</Paragraphs>
  <TotalTime>71</TotalTime>
  <ScaleCrop>false</ScaleCrop>
  <LinksUpToDate>false</LinksUpToDate>
  <CharactersWithSpaces>3102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2023-10-11T08:15:00Z</dcterms:created>
  <dc:creator>微软用户</dc:creator>
  <cp:lastModifiedBy>等风也等你</cp:lastModifiedBy>
  <cp:lastPrinted>2021-09-18T09:26:00Z</cp:lastPrinted>
  <dcterms:modified xsi:type="dcterms:W3CDTF">2023-10-13T08:43:40Z</dcterms:modified>
  <dc:title>宿城管发〔2016〕  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D822A4A9A97247E09578AB8DE5FC4218_13</vt:lpwstr>
  </property>
</Properties>
</file>