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after="313" w:afterLines="100" w:line="700" w:lineRule="exact"/>
        <w:jc w:val="both"/>
        <w:textAlignment w:val="auto"/>
        <w:rPr>
          <w:rFonts w:hint="default" w:ascii="Times New Roman" w:hAnsi="Times New Roman" w:eastAsia="方正小标宋_GBK" w:cs="方正小标宋简体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小标宋_GBK" w:cs="方正小标宋简体"/>
          <w:sz w:val="32"/>
          <w:szCs w:val="32"/>
          <w:lang w:val="en-US" w:eastAsia="zh-CN" w:bidi="ar-SA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after="313" w:afterLines="100" w:line="70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方正小标宋_GBK" w:cs="方正小标宋简体"/>
          <w:sz w:val="44"/>
          <w:szCs w:val="44"/>
          <w:lang w:val="en-US" w:eastAsia="zh-CN" w:bidi="ar-SA"/>
        </w:rPr>
        <w:t>淮安经开区市场监管局涉企检查事项清单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8"/>
        <w:gridCol w:w="3485"/>
        <w:gridCol w:w="4665"/>
        <w:gridCol w:w="3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8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实施主体</w:t>
            </w:r>
          </w:p>
        </w:tc>
        <w:tc>
          <w:tcPr>
            <w:tcW w:w="348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检查事项名称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设定依据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涉企类型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exact"/>
          <w:jc w:val="center"/>
        </w:trPr>
        <w:tc>
          <w:tcPr>
            <w:tcW w:w="266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淮安经开区市场监管局</w:t>
            </w:r>
          </w:p>
        </w:tc>
        <w:tc>
          <w:tcPr>
            <w:tcW w:w="348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从事食品生产、食品销售、餐饮服务应当依法取得许可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《中华人民共和国食品安全法》第三十五条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食品生产、经营企业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exact"/>
          <w:jc w:val="center"/>
        </w:trPr>
        <w:tc>
          <w:tcPr>
            <w:tcW w:w="266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淮安经开区市场监管局</w:t>
            </w:r>
          </w:p>
        </w:tc>
        <w:tc>
          <w:tcPr>
            <w:tcW w:w="348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特种设备使用单位应当使用符合法律规定的特种设备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《中华人民共和国特种设备安全法》第三十二条、第三十三条等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制造、加工、仓储物流等企业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exact"/>
          <w:jc w:val="center"/>
        </w:trPr>
        <w:tc>
          <w:tcPr>
            <w:tcW w:w="266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淮安经开区市场监管局</w:t>
            </w:r>
          </w:p>
        </w:tc>
        <w:tc>
          <w:tcPr>
            <w:tcW w:w="348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生产、销售的产品应当符合保障人体健康和人身、财产安全的国家标准、行业标准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《中华人民共和国产品质量法》第十二条、第十三条等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制造、加工、零售等企业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exact"/>
          <w:jc w:val="center"/>
        </w:trPr>
        <w:tc>
          <w:tcPr>
            <w:tcW w:w="266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淮安经开区市场监管局</w:t>
            </w:r>
          </w:p>
        </w:tc>
        <w:tc>
          <w:tcPr>
            <w:tcW w:w="348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产品不得掺杂、掺假，以假充真，以次充好，或者以不合格产品冒充合格产品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《中华人民共和国产品质量法》第三十二条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制造、加工、零售等企业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exact"/>
          <w:jc w:val="center"/>
        </w:trPr>
        <w:tc>
          <w:tcPr>
            <w:tcW w:w="266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淮安经开区市场监管局</w:t>
            </w:r>
          </w:p>
        </w:tc>
        <w:tc>
          <w:tcPr>
            <w:tcW w:w="348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不得伪造、冒用他人厂名、厂址或者商品产地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《中华人民共和国产品质量法》第三十条，《江苏省惩治生产销售假冒伪劣商品行为条例》第六条、第七条、第九条等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制造、加工、零售等企业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exact"/>
          <w:jc w:val="center"/>
        </w:trPr>
        <w:tc>
          <w:tcPr>
            <w:tcW w:w="266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淮安经开区市场监管局</w:t>
            </w:r>
          </w:p>
        </w:tc>
        <w:tc>
          <w:tcPr>
            <w:tcW w:w="348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房地产广告应准确、清楚明示房地产开发建设项目位置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《中华人民共和国广告法》第二十六条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发地产开发企业等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exact"/>
          <w:jc w:val="center"/>
        </w:trPr>
        <w:tc>
          <w:tcPr>
            <w:tcW w:w="266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淮安经开区市场监管局</w:t>
            </w:r>
          </w:p>
        </w:tc>
        <w:tc>
          <w:tcPr>
            <w:tcW w:w="348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经营者不得擅自使用与他人有一定影响的商品名称、包装、装潢等相同或者近似的标识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《中华人民共和国反不正当竞争法》第六条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制造、加工、零售等企业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ind w:firstLine="0"/>
        <w:rPr>
          <w:rFonts w:hint="default"/>
          <w:lang w:val="en-US" w:eastAsia="zh-CN"/>
        </w:rPr>
      </w:pPr>
    </w:p>
    <w:p>
      <w:pPr>
        <w:pStyle w:val="2"/>
        <w:ind w:firstLine="0"/>
        <w:rPr>
          <w:rFonts w:hint="default"/>
          <w:lang w:val="en-US" w:eastAsia="zh-CN"/>
        </w:rPr>
      </w:pPr>
    </w:p>
    <w:p>
      <w:pPr>
        <w:pStyle w:val="2"/>
        <w:ind w:firstLine="0"/>
        <w:rPr>
          <w:rFonts w:hint="default"/>
          <w:lang w:val="en-US" w:eastAsia="zh-CN"/>
        </w:rPr>
      </w:pPr>
    </w:p>
    <w:p>
      <w:pPr>
        <w:pStyle w:val="2"/>
        <w:ind w:firstLine="0"/>
        <w:rPr>
          <w:rFonts w:hint="default"/>
          <w:lang w:val="en-US" w:eastAsia="zh-CN"/>
        </w:rPr>
      </w:pPr>
    </w:p>
    <w:p>
      <w:pPr>
        <w:pStyle w:val="2"/>
        <w:ind w:firstLine="0"/>
        <w:rPr>
          <w:rFonts w:hint="default"/>
          <w:lang w:val="en-US" w:eastAsia="zh-CN"/>
        </w:rPr>
      </w:pPr>
    </w:p>
    <w:p>
      <w:pPr>
        <w:pStyle w:val="2"/>
        <w:ind w:firstLine="0"/>
        <w:rPr>
          <w:rFonts w:hint="default"/>
          <w:lang w:val="en-US" w:eastAsia="zh-CN"/>
        </w:rPr>
      </w:pPr>
    </w:p>
    <w:p>
      <w:pPr>
        <w:pStyle w:val="2"/>
        <w:ind w:firstLine="0"/>
        <w:rPr>
          <w:rFonts w:hint="default"/>
          <w:lang w:val="en-US" w:eastAsia="zh-CN"/>
        </w:rPr>
      </w:pPr>
    </w:p>
    <w:p>
      <w:pPr>
        <w:pStyle w:val="2"/>
        <w:ind w:firstLine="0"/>
        <w:rPr>
          <w:rFonts w:hint="default"/>
          <w:lang w:val="en-US" w:eastAsia="zh-CN"/>
        </w:rPr>
      </w:pPr>
    </w:p>
    <w:p>
      <w:pPr>
        <w:pStyle w:val="2"/>
        <w:ind w:firstLine="0"/>
        <w:rPr>
          <w:rFonts w:hint="default"/>
          <w:lang w:val="en-US" w:eastAsia="zh-CN"/>
        </w:rPr>
      </w:pPr>
    </w:p>
    <w:p>
      <w:pPr>
        <w:pStyle w:val="2"/>
        <w:ind w:firstLine="0"/>
        <w:rPr>
          <w:rFonts w:hint="default"/>
          <w:lang w:val="en-US" w:eastAsia="zh-CN"/>
        </w:rPr>
      </w:pPr>
    </w:p>
    <w:p>
      <w:pPr>
        <w:pStyle w:val="2"/>
        <w:ind w:firstLine="0"/>
        <w:rPr>
          <w:rFonts w:hint="default"/>
          <w:lang w:val="en-US" w:eastAsia="zh-CN"/>
        </w:rPr>
      </w:pPr>
    </w:p>
    <w:p>
      <w:pPr>
        <w:pStyle w:val="2"/>
        <w:ind w:firstLine="0"/>
        <w:rPr>
          <w:rFonts w:hint="default"/>
          <w:lang w:val="en-US" w:eastAsia="zh-CN"/>
        </w:rPr>
      </w:pPr>
    </w:p>
    <w:p>
      <w:pPr>
        <w:pStyle w:val="2"/>
        <w:ind w:firstLine="0"/>
        <w:rPr>
          <w:rFonts w:hint="eastAsia"/>
          <w:lang w:val="en-US" w:eastAsia="zh-CN"/>
        </w:rPr>
        <w:sectPr>
          <w:pgSz w:w="16838" w:h="11906" w:orient="landscape"/>
          <w:pgMar w:top="1587" w:right="1417" w:bottom="1474" w:left="1417" w:header="851" w:footer="992" w:gutter="0"/>
          <w:cols w:space="720" w:num="1"/>
          <w:rtlGutter w:val="0"/>
          <w:docGrid w:type="lines" w:linePitch="44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4NGViY2RlZTAyYjI5OWMxODAyNDAxYzYyMmY5OTcifQ=="/>
  </w:docVars>
  <w:rsids>
    <w:rsidRoot w:val="7ED22999"/>
    <w:rsid w:val="7ED2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</w:style>
  <w:style w:type="paragraph" w:styleId="3">
    <w:name w:val="Title"/>
    <w:next w:val="1"/>
    <w:uiPriority w:val="0"/>
    <w:pPr>
      <w:widowControl w:val="0"/>
      <w:spacing w:before="240" w:after="60"/>
      <w:outlineLvl w:val="0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2023-12-07T08:43:00Z</dcterms:created>
  <dc:creator>Administrator</dc:creator>
  <cp:lastModifiedBy>Administrator</cp:lastModifiedBy>
  <dcterms:modified xsi:type="dcterms:W3CDTF">2023-12-07T08:44:18Z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FD7649E356EA4D1698364375EABD9FAD_11</vt:lpwstr>
  </property>
</Properties>
</file>